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spacing w:line="0" w:lineRule="atLeast"/>
        <w:jc w:val="center"/>
        <w:rPr>
          <w:rFonts w:hint="eastAsia" w:ascii="方正小标宋简体" w:eastAsia="方正小标宋简体" w:cs="宋体"/>
          <w:color w:val="3A3A3A"/>
          <w:kern w:val="0"/>
          <w:sz w:val="44"/>
          <w:szCs w:val="44"/>
        </w:rPr>
      </w:pPr>
      <w:r>
        <w:rPr>
          <w:rFonts w:hint="eastAsia" w:ascii="方正小标宋简体" w:eastAsia="方正小标宋简体" w:cs="宋体"/>
          <w:color w:val="3A3A3A"/>
          <w:kern w:val="0"/>
          <w:sz w:val="44"/>
          <w:szCs w:val="44"/>
        </w:rPr>
        <w:t>西山煤电建筑工程集团有限公司</w:t>
      </w:r>
    </w:p>
    <w:p>
      <w:pPr>
        <w:autoSpaceDE w:val="0"/>
        <w:autoSpaceDN w:val="0"/>
        <w:adjustRightInd w:val="0"/>
        <w:spacing w:line="0" w:lineRule="atLeast"/>
        <w:jc w:val="center"/>
        <w:rPr>
          <w:rFonts w:hint="eastAsia" w:ascii="方正小标宋简体" w:eastAsia="方正小标宋简体" w:cs="宋体"/>
          <w:color w:val="3A3A3A"/>
          <w:kern w:val="0"/>
          <w:sz w:val="44"/>
          <w:szCs w:val="44"/>
        </w:rPr>
      </w:pPr>
      <w:r>
        <w:rPr>
          <w:rFonts w:hint="eastAsia" w:ascii="方正小标宋简体" w:eastAsia="方正小标宋简体" w:cs="宋体"/>
          <w:color w:val="3A3A3A"/>
          <w:kern w:val="0"/>
          <w:sz w:val="44"/>
          <w:szCs w:val="44"/>
        </w:rPr>
        <w:t>2021 年一季度（1-3 月）报告</w:t>
      </w:r>
    </w:p>
    <w:p>
      <w:pPr>
        <w:rPr>
          <w:rFonts w:hint="eastAsia" w:ascii="黑体" w:eastAsia="黑体" w:cs="黑体"/>
          <w:color w:val="3A3A3A"/>
          <w:kern w:val="0"/>
          <w:sz w:val="31"/>
          <w:szCs w:val="31"/>
        </w:rPr>
      </w:pPr>
    </w:p>
    <w:p>
      <w:pPr>
        <w:ind w:firstLine="640"/>
        <w:rPr>
          <w:rFonts w:hint="eastAsia" w:ascii="黑体" w:eastAsia="黑体" w:cs="黑体"/>
          <w:color w:val="3A3A3A"/>
          <w:kern w:val="0"/>
          <w:sz w:val="32"/>
          <w:szCs w:val="32"/>
        </w:rPr>
      </w:pPr>
      <w:r>
        <w:rPr>
          <w:rFonts w:hint="eastAsia" w:ascii="黑体" w:eastAsia="黑体" w:cs="黑体"/>
          <w:color w:val="3A3A3A"/>
          <w:kern w:val="0"/>
          <w:sz w:val="32"/>
          <w:szCs w:val="32"/>
        </w:rPr>
        <w:t>一、企业基本情况</w:t>
      </w:r>
    </w:p>
    <w:p>
      <w:pPr>
        <w:ind w:firstLine="640" w:firstLineChars="200"/>
        <w:rPr>
          <w:rFonts w:hint="eastAsia" w:ascii="仿宋" w:hAnsi="仿宋" w:eastAsia="仿宋" w:cs="仿宋_GB2312"/>
          <w:snapToGrid w:val="0"/>
          <w:kern w:val="0"/>
          <w:sz w:val="32"/>
          <w:szCs w:val="32"/>
          <w:lang w:eastAsia="zh-CN"/>
        </w:rPr>
      </w:pPr>
      <w:r>
        <w:rPr>
          <w:rFonts w:hint="eastAsia" w:ascii="仿宋" w:hAnsi="仿宋" w:eastAsia="仿宋" w:cs="仿宋_GB2312"/>
          <w:snapToGrid w:val="0"/>
          <w:kern w:val="0"/>
          <w:sz w:val="32"/>
          <w:szCs w:val="32"/>
        </w:rPr>
        <w:t>西山煤电建筑工程集团有限公司成立于2010年，具有矿山工程施工总承包壹级资质、建筑工程施工总承包壹级资质、市政公用工程施工总承包贰级资质、机电安装工程施工总承包贰级资质、消防设施工程专业承包贰级资质、爆破作业单位许可证（营业性）四级，金属非金属矿山采掘施工作业安全生产许可证，是集勘探设计、房地产开发、总承包施工于一体的大型集团企业</w:t>
      </w:r>
      <w:r>
        <w:rPr>
          <w:rFonts w:hint="eastAsia" w:ascii="仿宋" w:hAnsi="仿宋" w:eastAsia="仿宋" w:cs="仿宋_GB2312"/>
          <w:snapToGrid w:val="0"/>
          <w:kern w:val="0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_GB2312"/>
          <w:snapToGrid w:val="0"/>
          <w:kern w:val="0"/>
          <w:sz w:val="32"/>
          <w:szCs w:val="32"/>
          <w:lang w:val="en-US" w:eastAsia="zh-CN"/>
        </w:rPr>
        <w:t>有</w:t>
      </w:r>
      <w:r>
        <w:rPr>
          <w:rFonts w:hint="eastAsia" w:ascii="仿宋" w:hAnsi="仿宋" w:eastAsia="仿宋" w:cs="仿宋_GB2312"/>
          <w:snapToGrid w:val="0"/>
          <w:kern w:val="0"/>
          <w:sz w:val="32"/>
          <w:szCs w:val="32"/>
        </w:rPr>
        <w:t>主要大型机械设备148台（件）</w:t>
      </w:r>
      <w:r>
        <w:rPr>
          <w:rFonts w:hint="eastAsia" w:ascii="仿宋" w:hAnsi="仿宋" w:eastAsia="仿宋" w:cs="仿宋_GB2312"/>
          <w:snapToGrid w:val="0"/>
          <w:kern w:val="0"/>
          <w:sz w:val="32"/>
          <w:szCs w:val="32"/>
          <w:lang w:eastAsia="zh-CN"/>
        </w:rPr>
        <w:t>。</w:t>
      </w:r>
    </w:p>
    <w:p>
      <w:pPr>
        <w:ind w:firstLine="640" w:firstLineChars="200"/>
        <w:rPr>
          <w:rFonts w:ascii="仿宋" w:hAnsi="仿宋" w:eastAsia="仿宋" w:cs="仿宋_GB2312"/>
          <w:snapToGrid w:val="0"/>
          <w:kern w:val="0"/>
          <w:sz w:val="32"/>
          <w:szCs w:val="32"/>
        </w:rPr>
      </w:pPr>
      <w:r>
        <w:rPr>
          <w:rFonts w:hint="eastAsia" w:ascii="仿宋" w:hAnsi="仿宋" w:eastAsia="仿宋" w:cs="仿宋_GB2312"/>
          <w:snapToGrid w:val="0"/>
          <w:kern w:val="0"/>
          <w:sz w:val="32"/>
          <w:szCs w:val="32"/>
        </w:rPr>
        <w:t>公司注册资本金24000万元，下设4个分公司，即矿建第一分公司、矿建第二分公司、矿建第三分公司、建安分公司；设4个子公司，即山西西山金城建筑有限公司、山西西山金信建筑有限公司、山西西山煤电房地产开发有限责任公司、西山煤电设计院（有限公司）。先后有90余项工程被省、市及煤炭工业部评为优良工程，有70余项工程荣获“汾水杯”、“太阳杯”等奖项。16项成果获得国家专利，2项工法被评为国家级工法，1项工法被评为部级工法，60余项工法被评为省级工法。</w:t>
      </w:r>
    </w:p>
    <w:p>
      <w:pPr>
        <w:ind w:firstLine="640" w:firstLineChars="200"/>
        <w:rPr>
          <w:rFonts w:hint="eastAsia" w:ascii="仿宋" w:hAnsi="仿宋" w:eastAsia="仿宋" w:cs="仿宋_GB2312"/>
          <w:snapToGrid w:val="0"/>
          <w:kern w:val="0"/>
          <w:sz w:val="32"/>
          <w:szCs w:val="32"/>
        </w:rPr>
      </w:pPr>
      <w:bookmarkStart w:id="0" w:name="_GoBack"/>
      <w:bookmarkEnd w:id="0"/>
      <w:r>
        <w:rPr>
          <w:rFonts w:hint="eastAsia" w:ascii="仿宋" w:hAnsi="仿宋" w:eastAsia="仿宋" w:cs="仿宋_GB2312"/>
          <w:snapToGrid w:val="0"/>
          <w:kern w:val="0"/>
          <w:sz w:val="32"/>
          <w:szCs w:val="32"/>
        </w:rPr>
        <w:t>公司成立以来，始终遵循“干一项工程，拓一片市场，交一方朋友，树一座丰碑，创一流业绩，育一批人才”的经营理念，靠管理求效益、靠质量求生存、靠信誉闯市场、靠创新促发展、靠文化聚人心，以过硬的质量和良好的信誉赢得了较好的经济效益和社会效益。公司先后获得国家守合同重信用企业、全国优秀施工企业、全国煤炭行业建设矿建前十强、全国建筑业企业安全生产先进单位、全国建筑施工质量管理先进单位、中国建筑业成长性百强企业、中国煤炭行业优秀（先进）施工企业、煤炭行业优秀施工统计单位、山西省优秀建筑企业，山西省用户满意建筑施工企业等荣誉称号。</w:t>
      </w:r>
    </w:p>
    <w:p>
      <w:pPr>
        <w:ind w:firstLine="640" w:firstLineChars="200"/>
        <w:rPr>
          <w:rFonts w:hint="eastAsia" w:ascii="黑体" w:hAnsi="黑体" w:eastAsia="黑体" w:cs="仿宋_GB2312"/>
          <w:snapToGrid w:val="0"/>
          <w:kern w:val="0"/>
          <w:sz w:val="32"/>
          <w:szCs w:val="32"/>
        </w:rPr>
      </w:pPr>
      <w:r>
        <w:rPr>
          <w:rFonts w:hint="eastAsia" w:ascii="黑体" w:hAnsi="黑体" w:eastAsia="黑体" w:cs="仿宋_GB2312"/>
          <w:snapToGrid w:val="0"/>
          <w:kern w:val="0"/>
          <w:sz w:val="32"/>
          <w:szCs w:val="32"/>
        </w:rPr>
        <w:t>二、主要会计数据和财务指标</w:t>
      </w:r>
    </w:p>
    <w:p>
      <w:pPr>
        <w:jc w:val="center"/>
        <w:rPr>
          <w:rFonts w:asciiTheme="minorEastAsia" w:hAnsiTheme="minorEastAsia"/>
          <w:sz w:val="32"/>
          <w:szCs w:val="32"/>
        </w:rPr>
      </w:pPr>
      <w:r>
        <w:rPr>
          <w:rFonts w:asciiTheme="minorEastAsia" w:hAnsiTheme="minorEastAsia"/>
          <w:sz w:val="32"/>
          <w:szCs w:val="32"/>
        </w:rPr>
        <w:t>财务状况基本数据</w:t>
      </w:r>
    </w:p>
    <w:p>
      <w:pPr>
        <w:jc w:val="center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单位：万元</w:t>
      </w:r>
    </w:p>
    <w:p>
      <w:pPr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项目          期末余额          项目          期末余额</w:t>
      </w:r>
    </w:p>
    <w:p>
      <w:pPr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 xml:space="preserve">资产总额      129292.71         负债总额      </w:t>
      </w:r>
      <w:r>
        <w:rPr>
          <w:rFonts w:asciiTheme="minorEastAsia" w:hAnsiTheme="minorEastAsia"/>
          <w:sz w:val="28"/>
          <w:szCs w:val="28"/>
        </w:rPr>
        <w:t>92429</w:t>
      </w:r>
      <w:r>
        <w:rPr>
          <w:rFonts w:hint="eastAsia" w:asciiTheme="minorEastAsia" w:hAnsiTheme="minorEastAsia"/>
          <w:sz w:val="28"/>
          <w:szCs w:val="28"/>
        </w:rPr>
        <w:t>.</w:t>
      </w:r>
      <w:r>
        <w:rPr>
          <w:rFonts w:asciiTheme="minorEastAsia" w:hAnsiTheme="minorEastAsia"/>
          <w:sz w:val="28"/>
          <w:szCs w:val="28"/>
        </w:rPr>
        <w:t>5</w:t>
      </w:r>
      <w:r>
        <w:rPr>
          <w:rFonts w:hint="eastAsia" w:asciiTheme="minorEastAsia" w:hAnsiTheme="minorEastAsia"/>
          <w:sz w:val="28"/>
          <w:szCs w:val="28"/>
        </w:rPr>
        <w:t>7</w:t>
      </w:r>
    </w:p>
    <w:p>
      <w:pPr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 xml:space="preserve">所有者权益    </w:t>
      </w:r>
      <w:r>
        <w:rPr>
          <w:rFonts w:asciiTheme="minorEastAsia" w:hAnsiTheme="minorEastAsia"/>
          <w:sz w:val="28"/>
          <w:szCs w:val="28"/>
        </w:rPr>
        <w:t>36863</w:t>
      </w:r>
      <w:r>
        <w:rPr>
          <w:rFonts w:hint="eastAsia" w:asciiTheme="minorEastAsia" w:hAnsiTheme="minorEastAsia"/>
          <w:sz w:val="28"/>
          <w:szCs w:val="28"/>
        </w:rPr>
        <w:t>.</w:t>
      </w:r>
      <w:r>
        <w:rPr>
          <w:rFonts w:asciiTheme="minorEastAsia" w:hAnsiTheme="minorEastAsia"/>
          <w:sz w:val="28"/>
          <w:szCs w:val="28"/>
        </w:rPr>
        <w:t>14</w:t>
      </w:r>
      <w:r>
        <w:rPr>
          <w:rFonts w:hint="eastAsia" w:asciiTheme="minorEastAsia" w:hAnsiTheme="minorEastAsia"/>
          <w:sz w:val="28"/>
          <w:szCs w:val="28"/>
        </w:rPr>
        <w:t xml:space="preserve">          </w:t>
      </w:r>
      <w:r>
        <w:rPr>
          <w:rFonts w:asciiTheme="minorEastAsia" w:hAnsiTheme="minorEastAsia"/>
          <w:sz w:val="28"/>
          <w:szCs w:val="28"/>
        </w:rPr>
        <w:t>存货</w:t>
      </w:r>
      <w:r>
        <w:rPr>
          <w:rFonts w:hint="eastAsia" w:asciiTheme="minorEastAsia" w:hAnsiTheme="minorEastAsia"/>
          <w:sz w:val="28"/>
          <w:szCs w:val="28"/>
        </w:rPr>
        <w:t xml:space="preserve">          9211.51</w:t>
      </w:r>
    </w:p>
    <w:p>
      <w:pPr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应收账款      73989.09          应付账款      65578.84</w:t>
      </w:r>
    </w:p>
    <w:p>
      <w:pPr>
        <w:rPr>
          <w:rFonts w:hint="eastAsia"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固定资产净额  4198.54           应交税费      463.98</w:t>
      </w:r>
    </w:p>
    <w:p>
      <w:pPr>
        <w:rPr>
          <w:rFonts w:asciiTheme="minorEastAsia" w:hAnsiTheme="minorEastAsia"/>
          <w:sz w:val="28"/>
          <w:szCs w:val="28"/>
        </w:rPr>
      </w:pPr>
    </w:p>
    <w:p>
      <w:pPr>
        <w:jc w:val="center"/>
        <w:rPr>
          <w:rFonts w:asciiTheme="minorEastAsia" w:hAnsiTheme="minorEastAsia"/>
          <w:sz w:val="32"/>
          <w:szCs w:val="32"/>
        </w:rPr>
      </w:pPr>
      <w:r>
        <w:rPr>
          <w:rFonts w:asciiTheme="minorEastAsia" w:hAnsiTheme="minorEastAsia"/>
          <w:sz w:val="32"/>
          <w:szCs w:val="32"/>
        </w:rPr>
        <w:t>经营成果基本数据</w:t>
      </w:r>
    </w:p>
    <w:p>
      <w:pPr>
        <w:jc w:val="center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单位：万元</w:t>
      </w:r>
    </w:p>
    <w:p>
      <w:pPr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项目         本年累计          项目          本年累计</w:t>
      </w:r>
    </w:p>
    <w:p>
      <w:pPr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营业收入     15194.68          销售费用</w:t>
      </w:r>
    </w:p>
    <w:p>
      <w:pPr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管理费用     1587.09           财务费用      -3.35</w:t>
      </w:r>
    </w:p>
    <w:p>
      <w:pPr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利润总额     -769.00           净利润         -783.82</w:t>
      </w:r>
    </w:p>
    <w:p>
      <w:pPr>
        <w:ind w:firstLine="1100" w:firstLineChars="250"/>
        <w:rPr>
          <w:rFonts w:asciiTheme="minorEastAsia" w:hAnsiTheme="minorEastAsia"/>
          <w:sz w:val="44"/>
          <w:szCs w:val="44"/>
        </w:rPr>
      </w:pPr>
    </w:p>
    <w:p>
      <w:pPr>
        <w:ind w:firstLine="640" w:firstLineChars="200"/>
        <w:rPr>
          <w:rFonts w:ascii="黑体" w:hAnsi="黑体" w:eastAsia="黑体" w:cs="仿宋_GB2312"/>
          <w:snapToGrid w:val="0"/>
          <w:kern w:val="0"/>
          <w:sz w:val="32"/>
          <w:szCs w:val="32"/>
        </w:rPr>
      </w:pPr>
      <w:r>
        <w:rPr>
          <w:rFonts w:hint="eastAsia" w:ascii="黑体" w:hAnsi="黑体" w:eastAsia="黑体" w:cs="仿宋_GB2312"/>
          <w:snapToGrid w:val="0"/>
          <w:kern w:val="0"/>
          <w:sz w:val="32"/>
          <w:szCs w:val="32"/>
        </w:rPr>
        <w:t>预算执行情况：</w:t>
      </w:r>
    </w:p>
    <w:p>
      <w:pPr>
        <w:rPr>
          <w:rFonts w:ascii="仿宋" w:hAnsi="仿宋" w:eastAsia="仿宋" w:cs="仿宋_GB2312"/>
          <w:snapToGrid w:val="0"/>
          <w:kern w:val="0"/>
          <w:sz w:val="32"/>
          <w:szCs w:val="32"/>
        </w:rPr>
      </w:pPr>
      <w:r>
        <w:rPr>
          <w:rFonts w:hint="eastAsia" w:asciiTheme="minorEastAsia" w:hAnsiTheme="minorEastAsia"/>
          <w:sz w:val="44"/>
          <w:szCs w:val="44"/>
        </w:rPr>
        <w:t xml:space="preserve">   </w:t>
      </w:r>
      <w:r>
        <w:rPr>
          <w:rFonts w:hint="eastAsia" w:ascii="仿宋" w:hAnsi="仿宋" w:eastAsia="仿宋" w:cs="仿宋_GB2312"/>
          <w:snapToGrid w:val="0"/>
          <w:kern w:val="0"/>
          <w:sz w:val="32"/>
          <w:szCs w:val="32"/>
        </w:rPr>
        <w:t>西山建筑2021年全年预算收入90000万元，利润总额150万元。2021年一季度实现营业收入15194.68万元，完成年度预算的16.88%；利润亏损769万元，与年度预算相差919万元。</w:t>
      </w:r>
    </w:p>
    <w:p>
      <w:pPr>
        <w:ind w:firstLine="640"/>
        <w:rPr>
          <w:rFonts w:ascii="仿宋_GB2312" w:eastAsia="仿宋_GB2312" w:cs="仿宋_GB2312"/>
          <w:color w:val="000000"/>
          <w:kern w:val="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0D5F"/>
    <w:rsid w:val="00240676"/>
    <w:rsid w:val="002730B8"/>
    <w:rsid w:val="002C2653"/>
    <w:rsid w:val="00812510"/>
    <w:rsid w:val="00833437"/>
    <w:rsid w:val="00C10D5F"/>
    <w:rsid w:val="00FE2BF9"/>
    <w:rsid w:val="25ED56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Default"/>
    <w:uiPriority w:val="0"/>
    <w:pPr>
      <w:widowControl w:val="0"/>
      <w:autoSpaceDE w:val="0"/>
      <w:autoSpaceDN w:val="0"/>
      <w:adjustRightInd w:val="0"/>
    </w:pPr>
    <w:rPr>
      <w:rFonts w:ascii="仿宋_GB2312" w:eastAsia="仿宋_GB2312" w:cs="仿宋_GB2312" w:hAnsiTheme="minorHAnsi"/>
      <w:color w:val="000000"/>
      <w:kern w:val="0"/>
      <w:sz w:val="24"/>
      <w:szCs w:val="24"/>
      <w:lang w:val="en-US" w:eastAsia="zh-CN" w:bidi="ar-SA"/>
    </w:rPr>
  </w:style>
  <w:style w:type="paragraph" w:styleId="5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wimxt.com</Company>
  <Pages>4</Pages>
  <Words>275</Words>
  <Characters>1572</Characters>
  <Lines>13</Lines>
  <Paragraphs>3</Paragraphs>
  <TotalTime>3</TotalTime>
  <ScaleCrop>false</ScaleCrop>
  <LinksUpToDate>false</LinksUpToDate>
  <CharactersWithSpaces>1844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2022-01-29T07:02:00Z</dcterms:created>
  <dc:creator>白鹏</dc:creator>
  <cp:lastModifiedBy>王文业</cp:lastModifiedBy>
  <cp:lastPrinted>2022-01-29T09:12:00Z</cp:lastPrinted>
  <dcterms:modified xsi:type="dcterms:W3CDTF">2022-01-30T03:27:08Z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73A761BAC1AC4D31997424F22A5458A2</vt:lpwstr>
  </property>
</Properties>
</file>